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PRADEDAMUS PIRKIMUS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Prekių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Vaistai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Pirkimo objektas apima vaistus: antipsichozinius, migdomuosius, antidepresantus, antiparkinsoninius, anestetikus, analgetikus, infuzinius tirpalus, antibiotikus,   širdies ir kraujagyslių sistemą veikiančius, kvėpavimo sistemą veikiančius,virškinimo sistemą veikiančius,  odos ligas gydančius ir kitus.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prekės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 IR JO PASIRINKIMO PRIEŽASTYS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</w:t>
      </w:r>
      <w:r>
        <w:rPr>
          <w:rFonts w:ascii="Times New Roman" w:hAnsi="Times New Roman" w:cs="Times New Roman"/>
          <w:sz w:val="24"/>
          <w:szCs w:val="24"/>
        </w:rPr>
        <w:t xml:space="preserve">: Supaprastintas atviras konkursas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nurodytas pirkimo būdas</w:t>
      </w:r>
      <w:r>
        <w:rPr>
          <w:rFonts w:ascii="Times New Roman" w:hAnsi="Times New Roman" w:cs="Times New Roman"/>
          <w:sz w:val="24"/>
          <w:szCs w:val="24"/>
        </w:rPr>
        <w:t xml:space="preserve">: Pirkimo vertė yra mažesnė už tarptautinio pirkimo vertės ribas.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2015-02-10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2015-02-17T07:49:03+00:00</dcterms:created>
  <dcterms:modified xsi:type="dcterms:W3CDTF">2015-02-17T07:49:03+00:00</dcterms:modified>
</cp:coreProperties>
</file>